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A9F0"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43A53FA2" w14:textId="77777777" w:rsidTr="005F7F7E">
        <w:tc>
          <w:tcPr>
            <w:tcW w:w="2438" w:type="dxa"/>
            <w:shd w:val="clear" w:color="auto" w:fill="auto"/>
          </w:tcPr>
          <w:p w14:paraId="3E14596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2DB63F40" w14:textId="77777777" w:rsidR="00F445B1" w:rsidRPr="00F95BC9" w:rsidRDefault="00DB7AD7" w:rsidP="004A6D2F">
            <w:pPr>
              <w:rPr>
                <w:rStyle w:val="Firstpagetablebold"/>
              </w:rPr>
            </w:pPr>
            <w:r>
              <w:rPr>
                <w:rStyle w:val="Firstpagetablebold"/>
              </w:rPr>
              <w:t>Cabinet</w:t>
            </w:r>
          </w:p>
        </w:tc>
      </w:tr>
      <w:tr w:rsidR="00CE544A" w:rsidRPr="00975B07" w14:paraId="30AD50B2" w14:textId="77777777" w:rsidTr="005F7F7E">
        <w:tc>
          <w:tcPr>
            <w:tcW w:w="2438" w:type="dxa"/>
            <w:shd w:val="clear" w:color="auto" w:fill="auto"/>
          </w:tcPr>
          <w:p w14:paraId="35870B56"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8CAA1C9" w14:textId="77777777" w:rsidR="00F445B1" w:rsidRPr="001356F1" w:rsidRDefault="00FE67C3" w:rsidP="007B5CA2">
            <w:pPr>
              <w:rPr>
                <w:b/>
              </w:rPr>
            </w:pPr>
            <w:r>
              <w:rPr>
                <w:rStyle w:val="Firstpagetablebold"/>
              </w:rPr>
              <w:t>19 October 2022</w:t>
            </w:r>
          </w:p>
        </w:tc>
      </w:tr>
      <w:tr w:rsidR="00CE544A" w:rsidRPr="00975B07" w14:paraId="5E1D0453" w14:textId="77777777" w:rsidTr="005F7F7E">
        <w:tc>
          <w:tcPr>
            <w:tcW w:w="2438" w:type="dxa"/>
            <w:shd w:val="clear" w:color="auto" w:fill="auto"/>
          </w:tcPr>
          <w:p w14:paraId="03FD8AB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0C058D7" w14:textId="77777777" w:rsidR="00F445B1" w:rsidRPr="001356F1" w:rsidRDefault="00FE67C3" w:rsidP="004A6D2F">
            <w:pPr>
              <w:rPr>
                <w:rStyle w:val="Firstpagetablebold"/>
              </w:rPr>
            </w:pPr>
            <w:r>
              <w:rPr>
                <w:rStyle w:val="Firstpagetablebold"/>
              </w:rPr>
              <w:t>Housing and Homelessness Panel</w:t>
            </w:r>
          </w:p>
        </w:tc>
      </w:tr>
      <w:tr w:rsidR="00CE544A" w:rsidRPr="00975B07" w14:paraId="6F9DFE1E" w14:textId="77777777" w:rsidTr="005F7F7E">
        <w:tc>
          <w:tcPr>
            <w:tcW w:w="2438" w:type="dxa"/>
            <w:shd w:val="clear" w:color="auto" w:fill="auto"/>
          </w:tcPr>
          <w:p w14:paraId="1A3BC44A"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01E60016" w14:textId="47642CB6" w:rsidR="00F445B1" w:rsidRPr="009B75EC" w:rsidRDefault="009B75EC" w:rsidP="009B75EC">
            <w:pPr>
              <w:rPr>
                <w:rStyle w:val="Firstpagetablebold"/>
                <w:b w:val="0"/>
              </w:rPr>
            </w:pPr>
            <w:r w:rsidRPr="009B75EC">
              <w:rPr>
                <w:b/>
              </w:rPr>
              <w:t>Housing, Homelessness</w:t>
            </w:r>
            <w:r>
              <w:rPr>
                <w:b/>
              </w:rPr>
              <w:t xml:space="preserve"> and</w:t>
            </w:r>
            <w:r w:rsidRPr="009B75EC">
              <w:rPr>
                <w:b/>
              </w:rPr>
              <w:t xml:space="preserve"> Rough Sleeping Strategy 2023-28</w:t>
            </w:r>
          </w:p>
        </w:tc>
      </w:tr>
    </w:tbl>
    <w:p w14:paraId="1B2AB299"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BD8AD76" w14:textId="77777777" w:rsidTr="0080749A">
        <w:tc>
          <w:tcPr>
            <w:tcW w:w="8845" w:type="dxa"/>
            <w:gridSpan w:val="2"/>
            <w:tcBorders>
              <w:bottom w:val="single" w:sz="8" w:space="0" w:color="000000"/>
            </w:tcBorders>
            <w:hideMark/>
          </w:tcPr>
          <w:p w14:paraId="50125F2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1D3AF5C8" w14:textId="77777777" w:rsidTr="0080749A">
        <w:tc>
          <w:tcPr>
            <w:tcW w:w="2438" w:type="dxa"/>
            <w:tcBorders>
              <w:top w:val="single" w:sz="8" w:space="0" w:color="000000"/>
              <w:left w:val="single" w:sz="8" w:space="0" w:color="000000"/>
              <w:bottom w:val="nil"/>
              <w:right w:val="nil"/>
            </w:tcBorders>
            <w:hideMark/>
          </w:tcPr>
          <w:p w14:paraId="72836959"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66D614F" w14:textId="77777777" w:rsidR="00D5547E" w:rsidRPr="001356F1" w:rsidRDefault="00FE67C3" w:rsidP="00DB7AD7">
            <w:r>
              <w:t>To present Housing and Homelessness Panel recommendations for Cabinet consideration and decision</w:t>
            </w:r>
            <w:r w:rsidR="00D5547E" w:rsidRPr="001356F1">
              <w:t>.</w:t>
            </w:r>
          </w:p>
        </w:tc>
      </w:tr>
      <w:tr w:rsidR="00D5547E" w14:paraId="1D7025AD" w14:textId="77777777" w:rsidTr="0080749A">
        <w:tc>
          <w:tcPr>
            <w:tcW w:w="2438" w:type="dxa"/>
            <w:tcBorders>
              <w:top w:val="nil"/>
              <w:left w:val="single" w:sz="8" w:space="0" w:color="000000"/>
              <w:bottom w:val="nil"/>
              <w:right w:val="nil"/>
            </w:tcBorders>
            <w:hideMark/>
          </w:tcPr>
          <w:p w14:paraId="79F3CA93"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18AF7033" w14:textId="22D90F05" w:rsidR="00FE67C3" w:rsidRPr="001356F1" w:rsidRDefault="009B75EC" w:rsidP="005F7F7E">
            <w:r>
              <w:t>Yes</w:t>
            </w:r>
          </w:p>
        </w:tc>
      </w:tr>
      <w:tr w:rsidR="00FE67C3" w14:paraId="2E7D3BFE" w14:textId="77777777" w:rsidTr="0080749A">
        <w:tc>
          <w:tcPr>
            <w:tcW w:w="2438" w:type="dxa"/>
            <w:tcBorders>
              <w:top w:val="nil"/>
              <w:left w:val="single" w:sz="8" w:space="0" w:color="000000"/>
              <w:bottom w:val="nil"/>
              <w:right w:val="nil"/>
            </w:tcBorders>
          </w:tcPr>
          <w:p w14:paraId="72622CD2" w14:textId="77777777" w:rsidR="00FE67C3" w:rsidRDefault="00FE67C3">
            <w:pPr>
              <w:rPr>
                <w:rStyle w:val="Firstpagetablebold"/>
              </w:rPr>
            </w:pPr>
            <w:r>
              <w:rPr>
                <w:rStyle w:val="Firstpagetablebold"/>
              </w:rPr>
              <w:t>Lead member</w:t>
            </w:r>
          </w:p>
        </w:tc>
        <w:tc>
          <w:tcPr>
            <w:tcW w:w="6407" w:type="dxa"/>
            <w:tcBorders>
              <w:top w:val="nil"/>
              <w:left w:val="nil"/>
              <w:bottom w:val="nil"/>
              <w:right w:val="single" w:sz="8" w:space="0" w:color="000000"/>
            </w:tcBorders>
          </w:tcPr>
          <w:p w14:paraId="3B5E5F5D" w14:textId="77777777" w:rsidR="00FE67C3" w:rsidRDefault="00FE67C3" w:rsidP="005F7F7E">
            <w:r>
              <w:t>Cllr Paula Dunne, Chair, Housing and Homelessness Panel</w:t>
            </w:r>
          </w:p>
        </w:tc>
      </w:tr>
      <w:tr w:rsidR="00D5547E" w14:paraId="6E2F2DB5" w14:textId="77777777" w:rsidTr="0080749A">
        <w:tc>
          <w:tcPr>
            <w:tcW w:w="2438" w:type="dxa"/>
            <w:tcBorders>
              <w:top w:val="nil"/>
              <w:left w:val="single" w:sz="8" w:space="0" w:color="000000"/>
              <w:bottom w:val="nil"/>
              <w:right w:val="nil"/>
            </w:tcBorders>
            <w:hideMark/>
          </w:tcPr>
          <w:p w14:paraId="15734483"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021802C7" w14:textId="77777777" w:rsidR="00D5547E" w:rsidRPr="001356F1" w:rsidRDefault="00FE67C3" w:rsidP="005F7F7E">
            <w:r>
              <w:t>Cllr Linda Smith, Cabinet member for Housing</w:t>
            </w:r>
          </w:p>
        </w:tc>
      </w:tr>
      <w:tr w:rsidR="0080749A" w14:paraId="1AE559E1" w14:textId="77777777" w:rsidTr="0097170F">
        <w:tc>
          <w:tcPr>
            <w:tcW w:w="2438" w:type="dxa"/>
            <w:tcBorders>
              <w:top w:val="nil"/>
              <w:left w:val="single" w:sz="8" w:space="0" w:color="000000"/>
              <w:bottom w:val="nil"/>
              <w:right w:val="nil"/>
            </w:tcBorders>
          </w:tcPr>
          <w:p w14:paraId="22F97969"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2FC696F1" w14:textId="77777777" w:rsidR="008C13CD" w:rsidRDefault="008C13CD" w:rsidP="008C13CD">
            <w:r>
              <w:t>Deliver More, Affordable Housing and Supporting Thriving</w:t>
            </w:r>
          </w:p>
          <w:p w14:paraId="57B376E7" w14:textId="70995A57" w:rsidR="0080749A" w:rsidRPr="001356F1" w:rsidRDefault="008C13CD" w:rsidP="008C13CD">
            <w:r>
              <w:t>Communities</w:t>
            </w:r>
            <w:r w:rsidR="0080749A" w:rsidRPr="001356F1">
              <w:t>.</w:t>
            </w:r>
          </w:p>
        </w:tc>
      </w:tr>
      <w:tr w:rsidR="00D5547E" w14:paraId="03F2B38C" w14:textId="77777777" w:rsidTr="0097170F">
        <w:tc>
          <w:tcPr>
            <w:tcW w:w="2438" w:type="dxa"/>
            <w:tcBorders>
              <w:top w:val="nil"/>
              <w:left w:val="single" w:sz="8" w:space="0" w:color="000000"/>
              <w:bottom w:val="single" w:sz="4" w:space="0" w:color="auto"/>
              <w:right w:val="nil"/>
            </w:tcBorders>
            <w:hideMark/>
          </w:tcPr>
          <w:p w14:paraId="6BB5DE08" w14:textId="77777777" w:rsidR="00D5547E" w:rsidRDefault="00D5547E">
            <w:pPr>
              <w:rPr>
                <w:rStyle w:val="Firstpagetablebold"/>
              </w:rPr>
            </w:pPr>
            <w:r>
              <w:rPr>
                <w:rStyle w:val="Firstpagetablebold"/>
              </w:rPr>
              <w:t>Policy Framework:</w:t>
            </w:r>
          </w:p>
        </w:tc>
        <w:tc>
          <w:tcPr>
            <w:tcW w:w="6407" w:type="dxa"/>
            <w:tcBorders>
              <w:top w:val="nil"/>
              <w:left w:val="nil"/>
              <w:bottom w:val="single" w:sz="4" w:space="0" w:color="auto"/>
              <w:right w:val="single" w:sz="8" w:space="0" w:color="000000"/>
            </w:tcBorders>
            <w:hideMark/>
          </w:tcPr>
          <w:p w14:paraId="3B13DC2E" w14:textId="4572AB74" w:rsidR="00D5547E" w:rsidRPr="001356F1" w:rsidRDefault="008C13CD" w:rsidP="005F7F7E">
            <w:r>
              <w:t>Housing, Homelessness &amp; Rough Sleeping Strategy 2023-28</w:t>
            </w:r>
          </w:p>
        </w:tc>
      </w:tr>
    </w:tbl>
    <w:p w14:paraId="10DEA561" w14:textId="77777777" w:rsidR="00CE544A" w:rsidRDefault="00CE544A"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845"/>
      </w:tblGrid>
      <w:tr w:rsidR="0097170F" w:rsidRPr="00975B07" w14:paraId="392550B0" w14:textId="77777777" w:rsidTr="00FB6E8F">
        <w:trPr>
          <w:trHeight w:val="413"/>
        </w:trPr>
        <w:tc>
          <w:tcPr>
            <w:tcW w:w="8845" w:type="dxa"/>
            <w:tcBorders>
              <w:bottom w:val="single" w:sz="8" w:space="0" w:color="000000"/>
            </w:tcBorders>
          </w:tcPr>
          <w:p w14:paraId="487B3176" w14:textId="1058452A" w:rsidR="0097170F" w:rsidRPr="00975B07" w:rsidRDefault="00FE67C3" w:rsidP="00FE67C3">
            <w:r>
              <w:rPr>
                <w:rStyle w:val="Firstpagetablebold"/>
              </w:rPr>
              <w:lastRenderedPageBreak/>
              <w:t xml:space="preserve">Recommendation </w:t>
            </w:r>
            <w:r w:rsidR="0097170F">
              <w:rPr>
                <w:rStyle w:val="Firstpagetablebold"/>
              </w:rPr>
              <w:t>:</w:t>
            </w:r>
            <w:r>
              <w:rPr>
                <w:rStyle w:val="Firstpagetablebold"/>
                <w:b w:val="0"/>
              </w:rPr>
              <w:t>That the Cabinet states whether it agrees or disagrees with the recommendations in the body of the report</w:t>
            </w:r>
          </w:p>
        </w:tc>
      </w:tr>
    </w:tbl>
    <w:p w14:paraId="67953B17" w14:textId="77777777" w:rsidR="0097170F" w:rsidRPr="009E51FC" w:rsidRDefault="0097170F"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6213528C" w14:textId="77777777" w:rsidTr="008D2321">
        <w:trPr>
          <w:trHeight w:val="349"/>
        </w:trPr>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6308C250" w14:textId="77777777" w:rsidR="00966D42" w:rsidRPr="00975B07" w:rsidRDefault="00966D42" w:rsidP="00263EA3">
            <w:pPr>
              <w:jc w:val="center"/>
            </w:pPr>
            <w:r w:rsidRPr="00745BF0">
              <w:rPr>
                <w:rStyle w:val="Firstpagetablebold"/>
              </w:rPr>
              <w:t>Appendices</w:t>
            </w:r>
          </w:p>
        </w:tc>
      </w:tr>
      <w:tr w:rsidR="00ED5860" w:rsidRPr="00975B07" w14:paraId="22B62C93" w14:textId="77777777" w:rsidTr="008D2321">
        <w:trPr>
          <w:trHeight w:val="585"/>
        </w:trPr>
        <w:tc>
          <w:tcPr>
            <w:tcW w:w="2438" w:type="dxa"/>
            <w:tcBorders>
              <w:top w:val="single" w:sz="8" w:space="0" w:color="000000"/>
              <w:left w:val="single" w:sz="8" w:space="0" w:color="000000"/>
              <w:bottom w:val="nil"/>
              <w:right w:val="nil"/>
            </w:tcBorders>
            <w:shd w:val="clear" w:color="auto" w:fill="auto"/>
          </w:tcPr>
          <w:p w14:paraId="1A52BCBF" w14:textId="77777777" w:rsidR="00ED5860" w:rsidRPr="00975B07" w:rsidRDefault="00ED5860" w:rsidP="004A6D2F">
            <w:r w:rsidRPr="00975B07">
              <w:t xml:space="preserve">Appendix </w:t>
            </w:r>
            <w:r w:rsidR="00FE67C3">
              <w:t>A</w:t>
            </w:r>
          </w:p>
        </w:tc>
        <w:tc>
          <w:tcPr>
            <w:tcW w:w="6406" w:type="dxa"/>
            <w:tcBorders>
              <w:top w:val="single" w:sz="8" w:space="0" w:color="000000"/>
              <w:left w:val="nil"/>
              <w:bottom w:val="nil"/>
              <w:right w:val="single" w:sz="8" w:space="0" w:color="000000"/>
            </w:tcBorders>
          </w:tcPr>
          <w:p w14:paraId="731FB6D6" w14:textId="77777777" w:rsidR="00ED5860" w:rsidRPr="001356F1" w:rsidRDefault="00FE67C3" w:rsidP="004A6D2F">
            <w:r>
              <w:t>Draft Cabinet response to recommendations of the Housing and Homelessness Panel</w:t>
            </w:r>
          </w:p>
        </w:tc>
      </w:tr>
      <w:tr w:rsidR="0030208D" w:rsidRPr="00975B07" w14:paraId="7DC9F5FB" w14:textId="77777777" w:rsidTr="008D2321">
        <w:trPr>
          <w:trHeight w:val="78"/>
        </w:trPr>
        <w:tc>
          <w:tcPr>
            <w:tcW w:w="2438" w:type="dxa"/>
            <w:tcBorders>
              <w:top w:val="nil"/>
              <w:left w:val="single" w:sz="8" w:space="0" w:color="000000"/>
              <w:bottom w:val="single" w:sz="8" w:space="0" w:color="000000"/>
              <w:right w:val="nil"/>
            </w:tcBorders>
            <w:shd w:val="clear" w:color="auto" w:fill="auto"/>
          </w:tcPr>
          <w:p w14:paraId="41D8CE8E" w14:textId="77777777" w:rsidR="0030208D" w:rsidRPr="00975B07" w:rsidRDefault="0030208D" w:rsidP="004A6D2F"/>
        </w:tc>
        <w:tc>
          <w:tcPr>
            <w:tcW w:w="6406" w:type="dxa"/>
            <w:tcBorders>
              <w:top w:val="nil"/>
              <w:left w:val="nil"/>
              <w:bottom w:val="single" w:sz="8" w:space="0" w:color="000000"/>
              <w:right w:val="single" w:sz="8" w:space="0" w:color="000000"/>
            </w:tcBorders>
          </w:tcPr>
          <w:p w14:paraId="3578FE8B" w14:textId="77777777" w:rsidR="0030208D" w:rsidRPr="001356F1" w:rsidRDefault="0030208D" w:rsidP="004A6D2F"/>
        </w:tc>
      </w:tr>
    </w:tbl>
    <w:p w14:paraId="47EE9612" w14:textId="77777777" w:rsidR="0040736F" w:rsidRPr="001356F1" w:rsidRDefault="00F66DCA" w:rsidP="004A6D2F">
      <w:pPr>
        <w:pStyle w:val="Heading1"/>
      </w:pPr>
      <w:r w:rsidRPr="001356F1">
        <w:t>Introduction and b</w:t>
      </w:r>
      <w:r w:rsidR="00151888" w:rsidRPr="001356F1">
        <w:t>ackground</w:t>
      </w:r>
      <w:r w:rsidR="00404032" w:rsidRPr="001356F1">
        <w:t xml:space="preserve"> </w:t>
      </w:r>
    </w:p>
    <w:p w14:paraId="26FFFBFE" w14:textId="77777777" w:rsidR="00F030F5" w:rsidRDefault="00F030F5" w:rsidP="00F030F5">
      <w:pPr>
        <w:pStyle w:val="ListParagraph"/>
        <w:numPr>
          <w:ilvl w:val="0"/>
          <w:numId w:val="34"/>
        </w:numPr>
        <w:tabs>
          <w:tab w:val="clear" w:pos="426"/>
        </w:tabs>
        <w:spacing w:after="0"/>
        <w:contextualSpacing/>
      </w:pPr>
      <w:r>
        <w:t xml:space="preserve">The Housing and Homelessness Panel met on 06 October 2022 to consider a report on the Housing, Homelessness, and Rough Sleeping Strategy.  The report, which is due for Cabinet consideration on 19 October 2022, recommends that Cabinet notes the progress made to develop a new Housing, Homelessness, and Rough Sleeping Strategy; approves the draft Housing, Homelessness, and Rough Sleeping Strategy for public consultation; approves the launch of the </w:t>
      </w:r>
      <w:r>
        <w:lastRenderedPageBreak/>
        <w:t>statutory six week public consultation; and delegates authority to make any necessary minor amendments prior to the launch of the Consultation.</w:t>
      </w:r>
    </w:p>
    <w:p w14:paraId="457315BE" w14:textId="77777777" w:rsidR="008954DF" w:rsidRPr="001356F1" w:rsidRDefault="008954DF" w:rsidP="008954DF">
      <w:pPr>
        <w:pStyle w:val="ListParagraph"/>
        <w:numPr>
          <w:ilvl w:val="0"/>
          <w:numId w:val="0"/>
        </w:numPr>
        <w:ind w:left="426" w:hanging="426"/>
      </w:pPr>
    </w:p>
    <w:p w14:paraId="6B15E506" w14:textId="77777777" w:rsidR="00633578" w:rsidRPr="002B6836" w:rsidRDefault="00FE67C3" w:rsidP="002B6836">
      <w:pPr>
        <w:pStyle w:val="Heading1"/>
      </w:pPr>
      <w:r>
        <w:t>Summary and recommendations</w:t>
      </w:r>
    </w:p>
    <w:p w14:paraId="42001090" w14:textId="77777777" w:rsidR="00F030F5" w:rsidRDefault="00F030F5" w:rsidP="00F030F5">
      <w:pPr>
        <w:pStyle w:val="ListParagraph"/>
        <w:numPr>
          <w:ilvl w:val="0"/>
          <w:numId w:val="34"/>
        </w:numPr>
        <w:spacing w:after="0"/>
        <w:contextualSpacing/>
      </w:pPr>
      <w:r>
        <w:t>Councillor Linda Smith, Cabinet member for Housing, introduced the report.  She provided a broad overview of the strategy and high</w:t>
      </w:r>
      <w:r w:rsidR="00360E79">
        <w:t>l</w:t>
      </w:r>
      <w:r>
        <w:t>ighted that it was arranged under five priority areas:</w:t>
      </w:r>
    </w:p>
    <w:p w14:paraId="1788480B" w14:textId="77777777" w:rsidR="00F030F5" w:rsidRDefault="00F030F5" w:rsidP="00F030F5">
      <w:pPr>
        <w:pStyle w:val="ListParagraph"/>
        <w:numPr>
          <w:ilvl w:val="1"/>
          <w:numId w:val="34"/>
        </w:numPr>
        <w:tabs>
          <w:tab w:val="clear" w:pos="426"/>
        </w:tabs>
        <w:spacing w:after="0"/>
        <w:ind w:left="1440"/>
        <w:contextualSpacing/>
      </w:pPr>
      <w:r>
        <w:t>More affordable homes;</w:t>
      </w:r>
    </w:p>
    <w:p w14:paraId="62409EC4" w14:textId="77777777" w:rsidR="00F030F5" w:rsidRDefault="00F030F5" w:rsidP="00F030F5">
      <w:pPr>
        <w:pStyle w:val="ListParagraph"/>
        <w:numPr>
          <w:ilvl w:val="1"/>
          <w:numId w:val="34"/>
        </w:numPr>
        <w:tabs>
          <w:tab w:val="clear" w:pos="426"/>
        </w:tabs>
        <w:spacing w:after="0"/>
        <w:ind w:left="1440"/>
        <w:contextualSpacing/>
      </w:pPr>
      <w:r>
        <w:t>Great homes for all</w:t>
      </w:r>
    </w:p>
    <w:p w14:paraId="6417BE10" w14:textId="38FAD7BF" w:rsidR="00F030F5" w:rsidRDefault="008C13CD" w:rsidP="00F030F5">
      <w:pPr>
        <w:pStyle w:val="ListParagraph"/>
        <w:numPr>
          <w:ilvl w:val="1"/>
          <w:numId w:val="34"/>
        </w:numPr>
        <w:tabs>
          <w:tab w:val="clear" w:pos="426"/>
        </w:tabs>
        <w:spacing w:after="0"/>
        <w:ind w:left="1440"/>
        <w:contextualSpacing/>
      </w:pPr>
      <w:r>
        <w:t>Housing for a net zero future</w:t>
      </w:r>
    </w:p>
    <w:p w14:paraId="7DE34520" w14:textId="0A338CBD" w:rsidR="00F030F5" w:rsidRDefault="00F030F5" w:rsidP="00F030F5">
      <w:pPr>
        <w:pStyle w:val="ListParagraph"/>
        <w:numPr>
          <w:ilvl w:val="1"/>
          <w:numId w:val="34"/>
        </w:numPr>
        <w:tabs>
          <w:tab w:val="clear" w:pos="426"/>
        </w:tabs>
        <w:spacing w:after="0"/>
        <w:ind w:left="1440"/>
        <w:contextualSpacing/>
      </w:pPr>
      <w:r>
        <w:t xml:space="preserve">Preventing homelessness and adopting </w:t>
      </w:r>
      <w:r w:rsidR="008C13CD">
        <w:t xml:space="preserve">a </w:t>
      </w:r>
      <w:r>
        <w:t>rapid rehousing response</w:t>
      </w:r>
    </w:p>
    <w:p w14:paraId="12DFCA40" w14:textId="77777777" w:rsidR="00F030F5" w:rsidRDefault="00F030F5" w:rsidP="00F030F5">
      <w:pPr>
        <w:pStyle w:val="ListParagraph"/>
        <w:numPr>
          <w:ilvl w:val="1"/>
          <w:numId w:val="34"/>
        </w:numPr>
        <w:tabs>
          <w:tab w:val="clear" w:pos="426"/>
        </w:tabs>
        <w:spacing w:after="0"/>
        <w:ind w:left="1440"/>
        <w:contextualSpacing/>
      </w:pPr>
      <w:r>
        <w:lastRenderedPageBreak/>
        <w:t>Ending rough sleeping</w:t>
      </w:r>
    </w:p>
    <w:p w14:paraId="2E5EA2D6" w14:textId="77777777" w:rsidR="00F030F5" w:rsidRDefault="00F030F5" w:rsidP="00F030F5"/>
    <w:p w14:paraId="7F99BE4F" w14:textId="77777777" w:rsidR="00F030F5" w:rsidRDefault="00F030F5" w:rsidP="00F030F5">
      <w:pPr>
        <w:pStyle w:val="ListParagraph"/>
        <w:numPr>
          <w:ilvl w:val="0"/>
          <w:numId w:val="34"/>
        </w:numPr>
        <w:spacing w:after="0"/>
        <w:contextualSpacing/>
      </w:pPr>
      <w:r>
        <w:t>Nerys Parry, Head of Housing, Amie Rickatson, Strategy &amp; Service Development Manager, and Richard Wood, Housing Strategy and Needs Manager, answered the Panel’s questions alongside Cllr Smith.</w:t>
      </w:r>
    </w:p>
    <w:p w14:paraId="4826E358" w14:textId="77777777" w:rsidR="00F030F5" w:rsidRDefault="00F030F5" w:rsidP="00F030F5">
      <w:pPr>
        <w:pStyle w:val="ListParagraph"/>
        <w:numPr>
          <w:ilvl w:val="0"/>
          <w:numId w:val="0"/>
        </w:numPr>
        <w:ind w:left="720"/>
      </w:pPr>
    </w:p>
    <w:p w14:paraId="16EC908C" w14:textId="77777777" w:rsidR="00F030F5" w:rsidRDefault="00F030F5" w:rsidP="00F030F5">
      <w:pPr>
        <w:pStyle w:val="ListParagraph"/>
        <w:numPr>
          <w:ilvl w:val="0"/>
          <w:numId w:val="34"/>
        </w:numPr>
        <w:spacing w:after="0"/>
        <w:contextualSpacing/>
      </w:pPr>
      <w:r>
        <w:t xml:space="preserve">The Panel commended the wide-ranging nature of the strategy </w:t>
      </w:r>
      <w:r w:rsidR="00360E79">
        <w:t xml:space="preserve">and </w:t>
      </w:r>
      <w:r>
        <w:t>was pleased to hear of the planning for an active consultation period.  The Panel recognised, however, that some of the language contained within the strategy was necessarily technical and suggested that consideration be given to providing a glossary so that people could more readily engage with the document.</w:t>
      </w:r>
    </w:p>
    <w:p w14:paraId="0C71FBB7" w14:textId="77777777" w:rsidR="008D2321" w:rsidRDefault="008D2321" w:rsidP="008D2321"/>
    <w:p w14:paraId="0BD25F72" w14:textId="77777777" w:rsidR="008D2321" w:rsidRPr="008D2321" w:rsidRDefault="008D2321" w:rsidP="008D2321">
      <w:pPr>
        <w:ind w:left="360"/>
        <w:rPr>
          <w:b/>
          <w:i/>
        </w:rPr>
      </w:pPr>
      <w:r w:rsidRPr="008D2321">
        <w:rPr>
          <w:b/>
          <w:i/>
        </w:rPr>
        <w:t>Recommendation 1: That the Council produces a glossary for the consultation so as to make engagement more accessible.</w:t>
      </w:r>
    </w:p>
    <w:p w14:paraId="20A4423A" w14:textId="77777777" w:rsidR="00F030F5" w:rsidRDefault="00F030F5" w:rsidP="00F030F5">
      <w:pPr>
        <w:pStyle w:val="ListParagraph"/>
        <w:numPr>
          <w:ilvl w:val="0"/>
          <w:numId w:val="0"/>
        </w:numPr>
        <w:ind w:left="426"/>
      </w:pPr>
    </w:p>
    <w:p w14:paraId="588D6C2F" w14:textId="77777777" w:rsidR="00F030F5" w:rsidRDefault="00F030F5" w:rsidP="00F030F5">
      <w:pPr>
        <w:pStyle w:val="ListParagraph"/>
        <w:numPr>
          <w:ilvl w:val="0"/>
          <w:numId w:val="34"/>
        </w:numPr>
        <w:spacing w:after="0"/>
        <w:contextualSpacing/>
      </w:pPr>
      <w:r>
        <w:t>The Panel noted that some elements of the strategy refer to ‘customers’, one to ‘client’, and others to ‘residents.’  The Panel sought to encourage a move towards ‘residents’ so as to emphasise that people are not seen to be in a transactional relationship with the Council.</w:t>
      </w:r>
      <w:r w:rsidR="008D2321">
        <w:br/>
      </w:r>
      <w:r w:rsidR="008D2321">
        <w:br/>
      </w:r>
      <w:r w:rsidR="008D2321">
        <w:rPr>
          <w:b/>
          <w:i/>
        </w:rPr>
        <w:t xml:space="preserve">Recommendation 2: </w:t>
      </w:r>
      <w:r w:rsidR="008D2321" w:rsidRPr="00C13E9E">
        <w:rPr>
          <w:b/>
          <w:i/>
          <w:iCs/>
        </w:rPr>
        <w:t xml:space="preserve">That the Council employs the language of residents rather than customers </w:t>
      </w:r>
      <w:r w:rsidR="00360E79">
        <w:rPr>
          <w:b/>
          <w:i/>
          <w:iCs/>
        </w:rPr>
        <w:t xml:space="preserve">or client </w:t>
      </w:r>
      <w:r w:rsidR="008D2321" w:rsidRPr="00C13E9E">
        <w:rPr>
          <w:b/>
          <w:i/>
          <w:iCs/>
        </w:rPr>
        <w:t>in the strategy.</w:t>
      </w:r>
      <w:r>
        <w:br/>
      </w:r>
    </w:p>
    <w:p w14:paraId="447C1AFE" w14:textId="77777777" w:rsidR="00F030F5" w:rsidRDefault="00F030F5" w:rsidP="00F030F5">
      <w:pPr>
        <w:pStyle w:val="ListParagraph"/>
        <w:numPr>
          <w:ilvl w:val="0"/>
          <w:numId w:val="34"/>
        </w:numPr>
        <w:spacing w:after="0"/>
        <w:contextualSpacing/>
      </w:pPr>
      <w:r>
        <w:lastRenderedPageBreak/>
        <w:t>In response to questions, the Panel heard that the different numbers of new houses on different pages related to different types of housing or different timeframes or different locations.  The Panel considered that more fruitful engagement could be achieved if consideration were given to ensuring that these seeming discrepancies could be explained at the outset.</w:t>
      </w:r>
      <w:r w:rsidR="008D2321">
        <w:br/>
      </w:r>
      <w:r w:rsidR="008D2321">
        <w:br/>
      </w:r>
      <w:r w:rsidR="008D2321">
        <w:rPr>
          <w:b/>
          <w:i/>
        </w:rPr>
        <w:t xml:space="preserve">Recommendation 3: That the Council makes clear </w:t>
      </w:r>
      <w:r w:rsidR="008D2321" w:rsidRPr="00790FD5">
        <w:rPr>
          <w:b/>
          <w:i/>
          <w:iCs/>
        </w:rPr>
        <w:t xml:space="preserve">the difference and interplay between the different numbers of new houses </w:t>
      </w:r>
      <w:r w:rsidR="00360E79">
        <w:rPr>
          <w:b/>
          <w:i/>
          <w:iCs/>
        </w:rPr>
        <w:t xml:space="preserve">stated in the strategy </w:t>
      </w:r>
      <w:r w:rsidR="008D2321" w:rsidRPr="00790FD5">
        <w:rPr>
          <w:b/>
          <w:i/>
          <w:iCs/>
        </w:rPr>
        <w:t>(on, for example, pages 11, 27, 31, and 170)</w:t>
      </w:r>
      <w:r w:rsidR="008D2321">
        <w:rPr>
          <w:b/>
          <w:i/>
        </w:rPr>
        <w:t xml:space="preserve"> </w:t>
      </w:r>
      <w:r>
        <w:br/>
      </w:r>
    </w:p>
    <w:p w14:paraId="68246CE5" w14:textId="77777777" w:rsidR="00F030F5" w:rsidRDefault="00F030F5" w:rsidP="00F030F5">
      <w:pPr>
        <w:pStyle w:val="ListParagraph"/>
        <w:numPr>
          <w:ilvl w:val="0"/>
          <w:numId w:val="34"/>
        </w:numPr>
        <w:spacing w:after="0"/>
        <w:contextualSpacing/>
      </w:pPr>
      <w:r>
        <w:lastRenderedPageBreak/>
        <w:t>The Panel raised a number of questions about the section ‘improve standards for new developments of council housing in the city’ and, after some discussion, the Panel considered that consideration should be given to rewriting the section so that it is clearer and thus more accessible.</w:t>
      </w:r>
      <w:r w:rsidR="008D2321">
        <w:br/>
      </w:r>
      <w:r w:rsidR="008D2321">
        <w:br/>
      </w:r>
      <w:r w:rsidR="008D2321" w:rsidRPr="008D2321">
        <w:rPr>
          <w:b/>
          <w:i/>
        </w:rPr>
        <w:t xml:space="preserve">Recommendation 4: That the Council revises the content on p23 of the draft strategy, </w:t>
      </w:r>
      <w:r w:rsidR="008D2321" w:rsidRPr="008D2321">
        <w:rPr>
          <w:b/>
          <w:i/>
          <w:iCs/>
        </w:rPr>
        <w:t>particularly in the section headed ‘Improve standards for new developments of council housing in the city,’ so that it is more readily accessible and understandable</w:t>
      </w:r>
      <w:r w:rsidR="008D2321" w:rsidRPr="008D2321">
        <w:rPr>
          <w:b/>
          <w:i/>
        </w:rPr>
        <w:t>.</w:t>
      </w:r>
      <w:r>
        <w:br/>
      </w:r>
    </w:p>
    <w:p w14:paraId="5872793D" w14:textId="7ACC9EBC" w:rsidR="00F030F5" w:rsidRDefault="00F030F5" w:rsidP="00F030F5">
      <w:pPr>
        <w:pStyle w:val="ListParagraph"/>
        <w:numPr>
          <w:ilvl w:val="0"/>
          <w:numId w:val="34"/>
        </w:numPr>
        <w:tabs>
          <w:tab w:val="clear" w:pos="426"/>
        </w:tabs>
        <w:spacing w:after="0"/>
        <w:contextualSpacing/>
      </w:pPr>
      <w:r>
        <w:t xml:space="preserve">The Panel recognised that the evidence base, at appendix 2, </w:t>
      </w:r>
      <w:r w:rsidR="00360E79">
        <w:t xml:space="preserve">made </w:t>
      </w:r>
      <w:r>
        <w:t xml:space="preserve">reference to the universities and the impact dedicated, purpose-built </w:t>
      </w:r>
      <w:r>
        <w:lastRenderedPageBreak/>
        <w:t>student accommodation would have in releasing housing for other groups.  The Panel also recognise</w:t>
      </w:r>
      <w:r w:rsidR="00360E79">
        <w:t>d</w:t>
      </w:r>
      <w:r>
        <w:t xml:space="preserve"> that this </w:t>
      </w:r>
      <w:r w:rsidR="00360E79">
        <w:t xml:space="preserve">was </w:t>
      </w:r>
      <w:r>
        <w:t>set out in the Local Plan but, given its importance, the Panel considered that consideration should be given to highlighting this in the strategy itself.</w:t>
      </w:r>
      <w:r w:rsidR="008D2321">
        <w:br/>
      </w:r>
      <w:r w:rsidR="008D2321">
        <w:br/>
      </w:r>
      <w:r w:rsidR="008D2321">
        <w:rPr>
          <w:b/>
          <w:i/>
        </w:rPr>
        <w:t>Recommendation 5: That the Council considers including reference in the strategy itself to the importance of the contribution the universities and constituent colleges could make.</w:t>
      </w:r>
    </w:p>
    <w:p w14:paraId="3AA1F027" w14:textId="77777777" w:rsidR="00F030F5" w:rsidRDefault="00F030F5" w:rsidP="00FE67C3">
      <w:pPr>
        <w:spacing w:after="0"/>
        <w:contextualSpacing/>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FE67C3" w:rsidRPr="008E4D66" w14:paraId="4CDB12F8" w14:textId="77777777" w:rsidTr="00262337">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7186DD95" w14:textId="77777777" w:rsidR="00FE67C3" w:rsidRPr="008E4D66" w:rsidRDefault="00FE67C3" w:rsidP="00262337">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DEFA007" w14:textId="77777777" w:rsidR="00FE67C3" w:rsidRPr="008E4D66" w:rsidRDefault="00FE67C3" w:rsidP="00262337">
            <w:pPr>
              <w:rPr>
                <w:color w:val="auto"/>
              </w:rPr>
            </w:pPr>
            <w:r>
              <w:rPr>
                <w:color w:val="auto"/>
              </w:rPr>
              <w:t>Richard Doney</w:t>
            </w:r>
          </w:p>
        </w:tc>
      </w:tr>
      <w:tr w:rsidR="00FE67C3" w:rsidRPr="008E4D66" w14:paraId="784B8D93" w14:textId="77777777" w:rsidTr="00262337">
        <w:trPr>
          <w:cantSplit/>
          <w:trHeight w:val="396"/>
        </w:trPr>
        <w:tc>
          <w:tcPr>
            <w:tcW w:w="3685" w:type="dxa"/>
            <w:tcBorders>
              <w:top w:val="single" w:sz="8" w:space="0" w:color="000000"/>
              <w:left w:val="single" w:sz="8" w:space="0" w:color="000000"/>
              <w:bottom w:val="nil"/>
              <w:right w:val="nil"/>
            </w:tcBorders>
            <w:shd w:val="clear" w:color="auto" w:fill="auto"/>
          </w:tcPr>
          <w:p w14:paraId="0B73998D" w14:textId="77777777" w:rsidR="00FE67C3" w:rsidRPr="008E4D66" w:rsidRDefault="00FE67C3" w:rsidP="00262337">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6CD66773" w14:textId="77777777" w:rsidR="00FE67C3" w:rsidRPr="008E4D66" w:rsidRDefault="00FE67C3" w:rsidP="00262337">
            <w:pPr>
              <w:rPr>
                <w:color w:val="auto"/>
              </w:rPr>
            </w:pPr>
            <w:r>
              <w:rPr>
                <w:color w:val="auto"/>
              </w:rPr>
              <w:t>Scrutiny Officer</w:t>
            </w:r>
          </w:p>
        </w:tc>
      </w:tr>
      <w:tr w:rsidR="00FE67C3" w:rsidRPr="008E4D66" w14:paraId="50F141A2" w14:textId="77777777" w:rsidTr="00262337">
        <w:trPr>
          <w:cantSplit/>
          <w:trHeight w:val="396"/>
        </w:trPr>
        <w:tc>
          <w:tcPr>
            <w:tcW w:w="3685" w:type="dxa"/>
            <w:tcBorders>
              <w:top w:val="nil"/>
              <w:left w:val="single" w:sz="8" w:space="0" w:color="000000"/>
              <w:bottom w:val="nil"/>
              <w:right w:val="nil"/>
            </w:tcBorders>
            <w:shd w:val="clear" w:color="auto" w:fill="auto"/>
          </w:tcPr>
          <w:p w14:paraId="058348B3" w14:textId="77777777" w:rsidR="00FE67C3" w:rsidRPr="008E4D66" w:rsidRDefault="00FE67C3" w:rsidP="00262337">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1888BE17" w14:textId="77777777" w:rsidR="00FE67C3" w:rsidRPr="008E4D66" w:rsidRDefault="00FE67C3" w:rsidP="00262337">
            <w:pPr>
              <w:rPr>
                <w:color w:val="auto"/>
              </w:rPr>
            </w:pPr>
            <w:r w:rsidRPr="008E4D66">
              <w:rPr>
                <w:color w:val="auto"/>
              </w:rPr>
              <w:t>Law and Governance</w:t>
            </w:r>
          </w:p>
        </w:tc>
      </w:tr>
      <w:tr w:rsidR="00FE67C3" w:rsidRPr="008E4D66" w14:paraId="316FA9C4" w14:textId="77777777" w:rsidTr="00262337">
        <w:trPr>
          <w:cantSplit/>
          <w:trHeight w:val="396"/>
        </w:trPr>
        <w:tc>
          <w:tcPr>
            <w:tcW w:w="3685" w:type="dxa"/>
            <w:tcBorders>
              <w:top w:val="nil"/>
              <w:left w:val="single" w:sz="8" w:space="0" w:color="000000"/>
              <w:bottom w:val="nil"/>
              <w:right w:val="nil"/>
            </w:tcBorders>
            <w:shd w:val="clear" w:color="auto" w:fill="auto"/>
          </w:tcPr>
          <w:p w14:paraId="526FD66B" w14:textId="77777777" w:rsidR="00FE67C3" w:rsidRPr="008E4D66" w:rsidRDefault="00FE67C3" w:rsidP="00262337">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14:paraId="2781964C" w14:textId="77777777" w:rsidR="00FE67C3" w:rsidRPr="00091019" w:rsidRDefault="00FE67C3" w:rsidP="00262337">
            <w:pPr>
              <w:rPr>
                <w:color w:val="auto"/>
              </w:rPr>
            </w:pPr>
            <w:r w:rsidRPr="00091019">
              <w:rPr>
                <w:rFonts w:cs="Arial"/>
                <w:bCs/>
              </w:rPr>
              <w:t>07485 311341</w:t>
            </w:r>
          </w:p>
        </w:tc>
      </w:tr>
      <w:tr w:rsidR="00FE67C3" w:rsidRPr="008E4D66" w14:paraId="713CCCFE" w14:textId="77777777" w:rsidTr="00262337">
        <w:trPr>
          <w:cantSplit/>
          <w:trHeight w:val="396"/>
        </w:trPr>
        <w:tc>
          <w:tcPr>
            <w:tcW w:w="3685" w:type="dxa"/>
            <w:tcBorders>
              <w:top w:val="nil"/>
              <w:left w:val="single" w:sz="8" w:space="0" w:color="000000"/>
              <w:bottom w:val="single" w:sz="8" w:space="0" w:color="000000"/>
              <w:right w:val="nil"/>
            </w:tcBorders>
            <w:shd w:val="clear" w:color="auto" w:fill="auto"/>
          </w:tcPr>
          <w:p w14:paraId="23D09AF9" w14:textId="77777777" w:rsidR="00FE67C3" w:rsidRPr="008E4D66" w:rsidRDefault="00FE67C3" w:rsidP="00262337">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14D602F9" w14:textId="77777777" w:rsidR="00FE67C3" w:rsidRPr="008E4D66" w:rsidRDefault="00BB3B95" w:rsidP="00262337">
            <w:pPr>
              <w:rPr>
                <w:rStyle w:val="Hyperlink"/>
                <w:color w:val="auto"/>
              </w:rPr>
            </w:pPr>
            <w:hyperlink r:id="rId8" w:history="1">
              <w:r w:rsidR="00FE67C3" w:rsidRPr="00F870F8">
                <w:rPr>
                  <w:rStyle w:val="Hyperlink"/>
                </w:rPr>
                <w:t>rdoney@oxford.gov.uk</w:t>
              </w:r>
            </w:hyperlink>
            <w:r w:rsidR="00FE67C3">
              <w:rPr>
                <w:rStyle w:val="Hyperlink"/>
                <w:color w:val="auto"/>
              </w:rPr>
              <w:t xml:space="preserve"> </w:t>
            </w:r>
          </w:p>
        </w:tc>
      </w:tr>
    </w:tbl>
    <w:p w14:paraId="44911180" w14:textId="77777777" w:rsidR="00FE67C3" w:rsidRDefault="00FE67C3" w:rsidP="00FE67C3">
      <w:pPr>
        <w:spacing w:after="0"/>
        <w:contextualSpacing/>
      </w:pPr>
    </w:p>
    <w:sectPr w:rsidR="00FE67C3" w:rsidSect="002B6836">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272C" w14:textId="77777777" w:rsidR="00FB3B71" w:rsidRDefault="00FB3B71" w:rsidP="004A6D2F">
      <w:r>
        <w:separator/>
      </w:r>
    </w:p>
  </w:endnote>
  <w:endnote w:type="continuationSeparator" w:id="0">
    <w:p w14:paraId="6B1B5A91" w14:textId="77777777" w:rsidR="00FB3B71" w:rsidRDefault="00FB3B7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C898" w14:textId="77777777" w:rsidR="00364FAD" w:rsidRDefault="00364FAD" w:rsidP="004A6D2F">
    <w:pPr>
      <w:pStyle w:val="Footer"/>
    </w:pPr>
    <w:r>
      <w:t>Do not use a footer or page numbers.</w:t>
    </w:r>
  </w:p>
  <w:p w14:paraId="68321907" w14:textId="77777777" w:rsidR="00364FAD" w:rsidRDefault="00364FAD" w:rsidP="004A6D2F">
    <w:pPr>
      <w:pStyle w:val="Footer"/>
    </w:pPr>
  </w:p>
  <w:p w14:paraId="64F70904"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1AB4" w14:textId="77777777" w:rsidR="00BB3B95" w:rsidRDefault="00BB3B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F4BB" w14:textId="384DAA96" w:rsidR="004B11AE" w:rsidRPr="00BB3B95" w:rsidRDefault="004B11AE" w:rsidP="00BB3B95">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7B00" w14:textId="77777777" w:rsidR="00FB3B71" w:rsidRDefault="00FB3B71" w:rsidP="004A6D2F">
      <w:r>
        <w:separator/>
      </w:r>
    </w:p>
  </w:footnote>
  <w:footnote w:type="continuationSeparator" w:id="0">
    <w:p w14:paraId="7A9EED1E" w14:textId="77777777" w:rsidR="00FB3B71" w:rsidRDefault="00FB3B7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1D3BD" w14:textId="77777777" w:rsidR="00BB3B95" w:rsidRDefault="00BB3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544A" w14:textId="77777777" w:rsidR="00BB3B95" w:rsidRDefault="00BB3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48EEB" w14:textId="77777777" w:rsidR="00D5547E" w:rsidRDefault="00C05260" w:rsidP="00D5547E">
    <w:pPr>
      <w:pStyle w:val="Header"/>
      <w:jc w:val="right"/>
    </w:pPr>
    <w:r>
      <w:rPr>
        <w:noProof/>
      </w:rPr>
      <w:drawing>
        <wp:inline distT="0" distB="0" distL="0" distR="0" wp14:anchorId="1D439910" wp14:editId="4553B269">
          <wp:extent cx="838200" cy="1119505"/>
          <wp:effectExtent l="0" t="0" r="0" b="4445"/>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9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8C26C1"/>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D50C1"/>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FD1CCD"/>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6E30C5"/>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4520D4"/>
    <w:multiLevelType w:val="hybridMultilevel"/>
    <w:tmpl w:val="8006E1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19"/>
  </w:num>
  <w:num w:numId="5">
    <w:abstractNumId w:val="31"/>
  </w:num>
  <w:num w:numId="6">
    <w:abstractNumId w:val="35"/>
  </w:num>
  <w:num w:numId="7">
    <w:abstractNumId w:val="24"/>
  </w:num>
  <w:num w:numId="8">
    <w:abstractNumId w:val="21"/>
  </w:num>
  <w:num w:numId="9">
    <w:abstractNumId w:val="13"/>
  </w:num>
  <w:num w:numId="10">
    <w:abstractNumId w:val="16"/>
  </w:num>
  <w:num w:numId="11">
    <w:abstractNumId w:val="27"/>
  </w:num>
  <w:num w:numId="12">
    <w:abstractNumId w:val="26"/>
  </w:num>
  <w:num w:numId="13">
    <w:abstractNumId w:val="10"/>
  </w:num>
  <w:num w:numId="14">
    <w:abstractNumId w:val="37"/>
  </w:num>
  <w:num w:numId="15">
    <w:abstractNumId w:val="17"/>
  </w:num>
  <w:num w:numId="16">
    <w:abstractNumId w:val="11"/>
  </w:num>
  <w:num w:numId="17">
    <w:abstractNumId w:val="30"/>
  </w:num>
  <w:num w:numId="18">
    <w:abstractNumId w:val="12"/>
  </w:num>
  <w:num w:numId="19">
    <w:abstractNumId w:val="32"/>
  </w:num>
  <w:num w:numId="20">
    <w:abstractNumId w:val="18"/>
  </w:num>
  <w:num w:numId="21">
    <w:abstractNumId w:val="23"/>
  </w:num>
  <w:num w:numId="22">
    <w:abstractNumId w:val="14"/>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9"/>
  </w:num>
  <w:num w:numId="35">
    <w:abstractNumId w:val="15"/>
  </w:num>
  <w:num w:numId="36">
    <w:abstractNumId w:val="36"/>
  </w:num>
  <w:num w:numId="37">
    <w:abstractNumId w:val="22"/>
  </w:num>
  <w:num w:numId="3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71"/>
    <w:rsid w:val="000117D4"/>
    <w:rsid w:val="000314D7"/>
    <w:rsid w:val="00034054"/>
    <w:rsid w:val="00045F8B"/>
    <w:rsid w:val="00046D2B"/>
    <w:rsid w:val="00056263"/>
    <w:rsid w:val="00064D8A"/>
    <w:rsid w:val="00064F82"/>
    <w:rsid w:val="00066510"/>
    <w:rsid w:val="00077523"/>
    <w:rsid w:val="000B1DFC"/>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329CF"/>
    <w:rsid w:val="00232F5B"/>
    <w:rsid w:val="00247C29"/>
    <w:rsid w:val="00260467"/>
    <w:rsid w:val="00263EA3"/>
    <w:rsid w:val="00284F85"/>
    <w:rsid w:val="002870C3"/>
    <w:rsid w:val="00290915"/>
    <w:rsid w:val="002A22E2"/>
    <w:rsid w:val="002B6836"/>
    <w:rsid w:val="002C64F7"/>
    <w:rsid w:val="002F41F2"/>
    <w:rsid w:val="00301BF3"/>
    <w:rsid w:val="0030208D"/>
    <w:rsid w:val="00323418"/>
    <w:rsid w:val="003357BF"/>
    <w:rsid w:val="0034240A"/>
    <w:rsid w:val="00360E79"/>
    <w:rsid w:val="00364FAD"/>
    <w:rsid w:val="0036738F"/>
    <w:rsid w:val="0036759C"/>
    <w:rsid w:val="00367AE5"/>
    <w:rsid w:val="00367D71"/>
    <w:rsid w:val="0038150A"/>
    <w:rsid w:val="0038281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48E0"/>
    <w:rsid w:val="00462AB5"/>
    <w:rsid w:val="00465EAF"/>
    <w:rsid w:val="004738C5"/>
    <w:rsid w:val="0047737B"/>
    <w:rsid w:val="00491046"/>
    <w:rsid w:val="00496078"/>
    <w:rsid w:val="004A2AC7"/>
    <w:rsid w:val="004A6D2F"/>
    <w:rsid w:val="004B11AE"/>
    <w:rsid w:val="004C2887"/>
    <w:rsid w:val="004D2626"/>
    <w:rsid w:val="004D6E26"/>
    <w:rsid w:val="004D77D3"/>
    <w:rsid w:val="004E2959"/>
    <w:rsid w:val="004F20EF"/>
    <w:rsid w:val="0050321C"/>
    <w:rsid w:val="00507ECC"/>
    <w:rsid w:val="0054712D"/>
    <w:rsid w:val="00547EF6"/>
    <w:rsid w:val="005570B5"/>
    <w:rsid w:val="00567E18"/>
    <w:rsid w:val="00575F5F"/>
    <w:rsid w:val="00581805"/>
    <w:rsid w:val="00585F76"/>
    <w:rsid w:val="005A34E4"/>
    <w:rsid w:val="005A6610"/>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61D3E"/>
    <w:rsid w:val="00692627"/>
    <w:rsid w:val="006969E7"/>
    <w:rsid w:val="006A3643"/>
    <w:rsid w:val="006B10C2"/>
    <w:rsid w:val="006C2A29"/>
    <w:rsid w:val="006C64CF"/>
    <w:rsid w:val="006D17B1"/>
    <w:rsid w:val="006D4752"/>
    <w:rsid w:val="006D708A"/>
    <w:rsid w:val="006E14C1"/>
    <w:rsid w:val="006F0292"/>
    <w:rsid w:val="006F27FA"/>
    <w:rsid w:val="006F416B"/>
    <w:rsid w:val="006F519B"/>
    <w:rsid w:val="00713675"/>
    <w:rsid w:val="00715823"/>
    <w:rsid w:val="007253EF"/>
    <w:rsid w:val="00737B93"/>
    <w:rsid w:val="00745BF0"/>
    <w:rsid w:val="00751EA3"/>
    <w:rsid w:val="007615FE"/>
    <w:rsid w:val="0076655C"/>
    <w:rsid w:val="007742DC"/>
    <w:rsid w:val="00791437"/>
    <w:rsid w:val="007B0C2C"/>
    <w:rsid w:val="007B278E"/>
    <w:rsid w:val="007B5CA2"/>
    <w:rsid w:val="007C5C23"/>
    <w:rsid w:val="007E2A26"/>
    <w:rsid w:val="007F2348"/>
    <w:rsid w:val="007F4757"/>
    <w:rsid w:val="00803F07"/>
    <w:rsid w:val="0080749A"/>
    <w:rsid w:val="00821FB8"/>
    <w:rsid w:val="00822ACD"/>
    <w:rsid w:val="00855C66"/>
    <w:rsid w:val="00871EE4"/>
    <w:rsid w:val="008954DF"/>
    <w:rsid w:val="008B293F"/>
    <w:rsid w:val="008B7371"/>
    <w:rsid w:val="008C13CD"/>
    <w:rsid w:val="008D2321"/>
    <w:rsid w:val="008D3DDB"/>
    <w:rsid w:val="008F3B04"/>
    <w:rsid w:val="008F573F"/>
    <w:rsid w:val="009034EC"/>
    <w:rsid w:val="0093067A"/>
    <w:rsid w:val="00941C60"/>
    <w:rsid w:val="00941FD1"/>
    <w:rsid w:val="00950824"/>
    <w:rsid w:val="00966D42"/>
    <w:rsid w:val="00971689"/>
    <w:rsid w:val="0097170F"/>
    <w:rsid w:val="00973E90"/>
    <w:rsid w:val="00975B07"/>
    <w:rsid w:val="00980B4A"/>
    <w:rsid w:val="009B3E8A"/>
    <w:rsid w:val="009B75EC"/>
    <w:rsid w:val="009E3D0A"/>
    <w:rsid w:val="009E51FC"/>
    <w:rsid w:val="009F1D28"/>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1684"/>
    <w:rsid w:val="00AE7AF0"/>
    <w:rsid w:val="00B500CA"/>
    <w:rsid w:val="00B86314"/>
    <w:rsid w:val="00BA1C2E"/>
    <w:rsid w:val="00BB3B95"/>
    <w:rsid w:val="00BC200B"/>
    <w:rsid w:val="00BC4756"/>
    <w:rsid w:val="00BC69A4"/>
    <w:rsid w:val="00BE0680"/>
    <w:rsid w:val="00BE305F"/>
    <w:rsid w:val="00BE7BA3"/>
    <w:rsid w:val="00BF5682"/>
    <w:rsid w:val="00BF7B09"/>
    <w:rsid w:val="00C05260"/>
    <w:rsid w:val="00C076B9"/>
    <w:rsid w:val="00C20A95"/>
    <w:rsid w:val="00C2692F"/>
    <w:rsid w:val="00C3207C"/>
    <w:rsid w:val="00C400E1"/>
    <w:rsid w:val="00C41187"/>
    <w:rsid w:val="00C63C31"/>
    <w:rsid w:val="00C757A0"/>
    <w:rsid w:val="00C760DE"/>
    <w:rsid w:val="00C82630"/>
    <w:rsid w:val="00C85B4E"/>
    <w:rsid w:val="00C907F7"/>
    <w:rsid w:val="00CA2103"/>
    <w:rsid w:val="00CB21E8"/>
    <w:rsid w:val="00CB6B99"/>
    <w:rsid w:val="00CE4C87"/>
    <w:rsid w:val="00CE544A"/>
    <w:rsid w:val="00D11E1C"/>
    <w:rsid w:val="00D160B0"/>
    <w:rsid w:val="00D17F94"/>
    <w:rsid w:val="00D223FC"/>
    <w:rsid w:val="00D26D1E"/>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30F5"/>
    <w:rsid w:val="00F05ECA"/>
    <w:rsid w:val="00F26E21"/>
    <w:rsid w:val="00F3566E"/>
    <w:rsid w:val="00F375FB"/>
    <w:rsid w:val="00F41AC1"/>
    <w:rsid w:val="00F4367A"/>
    <w:rsid w:val="00F445B1"/>
    <w:rsid w:val="00F45CD4"/>
    <w:rsid w:val="00F66DCA"/>
    <w:rsid w:val="00F74F53"/>
    <w:rsid w:val="00F7606D"/>
    <w:rsid w:val="00F81670"/>
    <w:rsid w:val="00F82024"/>
    <w:rsid w:val="00F865A3"/>
    <w:rsid w:val="00F95BC9"/>
    <w:rsid w:val="00FA624C"/>
    <w:rsid w:val="00FB3B71"/>
    <w:rsid w:val="00FD0FAC"/>
    <w:rsid w:val="00FD1DFA"/>
    <w:rsid w:val="00FD4966"/>
    <w:rsid w:val="00FE57DC"/>
    <w:rsid w:val="00FE67C3"/>
    <w:rsid w:val="00FF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8275F7"/>
  <w15:docId w15:val="{5B2BA3E5-8E0C-4EC8-9220-F637E85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2B6836"/>
    <w:pPr>
      <w:spacing w:before="240"/>
      <w:outlineLvl w:val="0"/>
    </w:pPr>
    <w:rPr>
      <w:b/>
    </w:rPr>
  </w:style>
  <w:style w:type="paragraph" w:styleId="Heading2">
    <w:name w:val="heading 2"/>
    <w:aliases w:val="Sub-heading"/>
    <w:basedOn w:val="Normal"/>
    <w:next w:val="Normal"/>
    <w:qFormat/>
    <w:rsid w:val="00F26E21"/>
    <w:pPr>
      <w:spacing w:before="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ooterChar">
    <w:name w:val="Footer Char"/>
    <w:aliases w:val="zzFooter Char"/>
    <w:link w:val="Footer"/>
    <w:uiPriority w:val="99"/>
    <w:rsid w:val="004B11AE"/>
    <w:rPr>
      <w:color w:val="000000"/>
      <w:sz w:val="18"/>
      <w:szCs w:val="24"/>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2B6836"/>
    <w:rPr>
      <w:b/>
      <w:color w:val="000000"/>
      <w:sz w:val="24"/>
      <w:szCs w:val="24"/>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table" w:styleId="TableColumns1">
    <w:name w:val="Table Columns 1"/>
    <w:basedOn w:val="TableNormal"/>
    <w:rsid w:val="00507ECC"/>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507ECC"/>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3">
    <w:name w:val="Table Grid 3"/>
    <w:basedOn w:val="TableNormal"/>
    <w:rsid w:val="00507ECC"/>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507EC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4129367">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4417-B328-4EA0-8737-0EF53DA2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82C1A04</Template>
  <TotalTime>30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OxCityCouncil Cabinet report</vt:lpstr>
    </vt:vector>
  </TitlesOfParts>
  <Company>Oxford City Council</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OxCityCouncil Cabinet report</dc:title>
  <dc:creator>jmitchell</dc:creator>
  <cp:keywords>OxCityCouncil Report</cp:keywords>
  <cp:lastModifiedBy>DONEY Richard</cp:lastModifiedBy>
  <cp:revision>4</cp:revision>
  <cp:lastPrinted>2022-10-10T15:30:00Z</cp:lastPrinted>
  <dcterms:created xsi:type="dcterms:W3CDTF">2022-10-10T15:20:00Z</dcterms:created>
  <dcterms:modified xsi:type="dcterms:W3CDTF">2022-10-10T15:46:00Z</dcterms:modified>
  <cp:category>Report to Council or Committee</cp:category>
</cp:coreProperties>
</file>